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sz w:val="30"/>
          <w:u w:val="none"/>
          <w:lang w:val="en-US" w:eastAsia="zh-CN"/>
        </w:rPr>
      </w:pPr>
      <w:r>
        <w:rPr>
          <w:rFonts w:hint="eastAsia" w:ascii="仿宋_GB2312" w:hAnsi="仿宋_GB2312" w:eastAsia="仿宋_GB2312" w:cs="仿宋_GB2312"/>
          <w:color w:val="auto"/>
          <w:sz w:val="30"/>
          <w:u w:val="none"/>
          <w:lang w:val="en-US" w:eastAsia="zh-CN"/>
        </w:rPr>
        <w:t>附件1</w:t>
      </w:r>
    </w:p>
    <w:p>
      <w:pPr>
        <w:jc w:val="center"/>
        <w:rPr>
          <w:rFonts w:hint="eastAsia" w:ascii="华文中宋" w:hAnsi="华文中宋" w:eastAsia="华文中宋" w:cs="华文中宋"/>
          <w:b/>
          <w:bCs/>
          <w:color w:val="auto"/>
          <w:sz w:val="36"/>
          <w:szCs w:val="36"/>
          <w:u w:val="none"/>
          <w:lang w:val="en-US" w:eastAsia="zh-CN"/>
        </w:rPr>
      </w:pPr>
      <w:r>
        <w:rPr>
          <w:rFonts w:hint="eastAsia" w:ascii="华文中宋" w:hAnsi="华文中宋" w:eastAsia="华文中宋" w:cs="华文中宋"/>
          <w:b/>
          <w:bCs/>
          <w:color w:val="auto"/>
          <w:sz w:val="36"/>
          <w:szCs w:val="36"/>
          <w:u w:val="none"/>
          <w:lang w:val="en-US" w:eastAsia="zh-CN"/>
        </w:rPr>
        <w:t>物业服务企业就业信息填报表（年度表）</w:t>
      </w:r>
    </w:p>
    <w:tbl>
      <w:tblPr>
        <w:tblStyle w:val="2"/>
        <w:tblpPr w:leftFromText="180" w:rightFromText="180" w:vertAnchor="text" w:horzAnchor="page" w:tblpX="1196" w:tblpY="677"/>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26"/>
        <w:gridCol w:w="1066"/>
        <w:gridCol w:w="1434"/>
        <w:gridCol w:w="1483"/>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2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信息联络员：</w:t>
            </w:r>
          </w:p>
        </w:tc>
        <w:tc>
          <w:tcPr>
            <w:tcW w:w="106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职务：</w:t>
            </w:r>
          </w:p>
        </w:tc>
        <w:tc>
          <w:tcPr>
            <w:tcW w:w="1434"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auto"/>
                <w:sz w:val="22"/>
                <w:szCs w:val="22"/>
                <w:u w:val="none"/>
              </w:rPr>
            </w:pPr>
          </w:p>
        </w:tc>
        <w:tc>
          <w:tcPr>
            <w:tcW w:w="148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联系方式：</w:t>
            </w:r>
          </w:p>
        </w:tc>
        <w:tc>
          <w:tcPr>
            <w:tcW w:w="1581" w:type="dxa"/>
            <w:tcBorders>
              <w:top w:val="nil"/>
              <w:left w:val="nil"/>
              <w:bottom w:val="nil"/>
              <w:right w:val="nil"/>
            </w:tcBorders>
            <w:shd w:val="clear" w:color="auto" w:fill="auto"/>
            <w:noWrap/>
            <w:vAlign w:val="center"/>
          </w:tcPr>
          <w:p>
            <w:pP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表1  企业从业人员情况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4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指标名称</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代码</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3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2021年底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年人均工资（元）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企业管理面积</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万平方米</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企业营业收入</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万元</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企业从业人员总数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103</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一、按岗位分类</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（一）经营管理人员</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其中：企业高层管理人员</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管理处主任（项目经理）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107</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管理员</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（二）操作人员</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109</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其中：工程维修工</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秩序维护员</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111</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清洁工</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绿化工</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113</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其他工种</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二、按学历分类</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115</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其中：硕士研究生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116</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本科生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117</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大专生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118</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中专生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高中以下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三、安置就业、再就业总人数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121</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其中：接收应届高校毕业生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安置部队复转退军人</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123</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安置下岗、失业人员再就业</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124</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接收农村劳动力转移就业人数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125</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接收残疾人群体及其他</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126</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9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表2  企业外包人员情况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4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指标名称</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代码</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3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2021年底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年人均工资（元）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企业外包人员总数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127</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其中：工程维修工</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128</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秩序维护员</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129</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清洁工</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绿化工</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131</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其他工种</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企业“稳就业、促就业”方面措施、案例、建议（此项设置为上传word文档）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69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1.总部型企业需汇总所属分公司、非法人营业机构、合资合作成立企业等相关人员信息。合资合作性质的公司或项目，合资合作对方是物业服务企业的，按投资占股比例计算。对方不是物业服务企业的，可按全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9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2.企业管理面积为企业实际在管的项目面积，不含物业顾问项目、尚未交付项目和提供单一服务的项目。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9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3.企业营业收入为企业经营总收入，包含物业服务费收入和多种经营收入，应与企业审计报告书中经营收入保持一致。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69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4.企业从业人员：指在物业服务企业中工作，取得工资或其它形式的劳动报酬的全部人员。包括：在岗职工、再就业的离退休人员、在企业中工作的外方人员、兼职人员、借用的外单位人员和第二职业者。不包括离开本单位仍保留劳动关系的职工以及外包服务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69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5.年人均工资=报告期实际支付的全部职工工资总额/报告期全部职工平均人数。工资总额是指单位在一定时期内直接支付给本单位全部职工的劳动报酬总额，包括计时工资、计件工资、奖金、津贴和补贴、加班加点工资、特殊情况下支付的工资，以及单位缴纳的个人养老、医疗、住房等保险，均包括在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9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6.本表逻辑关系：103=104=115，104=105+109，105=106+107+108，109=110+111+112+113+114，115=116+117+118+119+120，121=122+123+124+125+126，127=128+129+130+131+132。</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ZDNmNTliYzY2ODMwMWE4ZmI5YWFlYjNhZDVkNTkifQ=="/>
  </w:docVars>
  <w:rsids>
    <w:rsidRoot w:val="41700272"/>
    <w:rsid w:val="41700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2022-08-30T06:21:00Z</dcterms:created>
  <dc:creator>段文婧</dc:creator>
  <cp:lastModifiedBy>段文婧</cp:lastModifiedBy>
  <dcterms:modified xsi:type="dcterms:W3CDTF">2022-08-30T06:22:11Z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F34B6ECD25C241159B72472BFC98B586</vt:lpwstr>
  </property>
</Properties>
</file>